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48ED" w14:textId="0ED40288" w:rsidR="00D753AA" w:rsidRPr="005A10C2" w:rsidRDefault="00BE2D7B" w:rsidP="00BE2D7B">
      <w:pPr>
        <w:jc w:val="center"/>
        <w:rPr>
          <w:b/>
          <w:bCs/>
          <w:sz w:val="20"/>
          <w:szCs w:val="20"/>
        </w:rPr>
      </w:pPr>
      <w:r w:rsidRPr="005A10C2">
        <w:rPr>
          <w:b/>
          <w:bCs/>
          <w:sz w:val="20"/>
          <w:szCs w:val="20"/>
        </w:rPr>
        <w:t>KIRIKKALE BELEDİYE BAŞKANLIĞINDAN İLAN</w:t>
      </w:r>
    </w:p>
    <w:p w14:paraId="07CCBDC2" w14:textId="46E9D25B" w:rsidR="00BE2D7B" w:rsidRDefault="00BE2D7B">
      <w:pPr>
        <w:rPr>
          <w:sz w:val="20"/>
          <w:szCs w:val="20"/>
        </w:rPr>
      </w:pPr>
      <w:r w:rsidRPr="00BE2D7B">
        <w:rPr>
          <w:sz w:val="20"/>
          <w:szCs w:val="20"/>
        </w:rPr>
        <w:t xml:space="preserve">1-Mülkiyeti Belediyemize ait aşağıda adresleri geçici teminat bedelleri ve aylık muhammen kira bedelleri belirtilen </w:t>
      </w:r>
      <w:r w:rsidR="008E1F91">
        <w:rPr>
          <w:sz w:val="20"/>
          <w:szCs w:val="20"/>
        </w:rPr>
        <w:t xml:space="preserve">1 Adet </w:t>
      </w:r>
      <w:r w:rsidR="00F706DE">
        <w:rPr>
          <w:sz w:val="20"/>
          <w:szCs w:val="20"/>
        </w:rPr>
        <w:t>Çay Ocağı</w:t>
      </w:r>
      <w:r w:rsidR="008E1F91">
        <w:rPr>
          <w:sz w:val="20"/>
          <w:szCs w:val="20"/>
        </w:rPr>
        <w:t xml:space="preserve">, </w:t>
      </w:r>
      <w:r w:rsidR="00F706DE">
        <w:rPr>
          <w:sz w:val="20"/>
          <w:szCs w:val="20"/>
        </w:rPr>
        <w:t>6</w:t>
      </w:r>
      <w:r w:rsidR="00CA3771">
        <w:rPr>
          <w:sz w:val="20"/>
          <w:szCs w:val="20"/>
        </w:rPr>
        <w:t xml:space="preserve"> </w:t>
      </w:r>
      <w:r w:rsidRPr="00BE2D7B">
        <w:rPr>
          <w:sz w:val="20"/>
          <w:szCs w:val="20"/>
        </w:rPr>
        <w:t xml:space="preserve">Adet Büfe işletmeciliği toplam </w:t>
      </w:r>
      <w:r w:rsidR="00F706DE">
        <w:rPr>
          <w:sz w:val="20"/>
          <w:szCs w:val="20"/>
        </w:rPr>
        <w:t>7</w:t>
      </w:r>
      <w:r w:rsidRPr="00BE2D7B">
        <w:rPr>
          <w:sz w:val="20"/>
          <w:szCs w:val="20"/>
        </w:rPr>
        <w:t xml:space="preserve"> Adet taşınmaz 2886 D</w:t>
      </w:r>
      <w:r w:rsidR="008E1F91">
        <w:rPr>
          <w:sz w:val="20"/>
          <w:szCs w:val="20"/>
        </w:rPr>
        <w:t>.</w:t>
      </w:r>
      <w:r w:rsidRPr="00BE2D7B">
        <w:rPr>
          <w:sz w:val="20"/>
          <w:szCs w:val="20"/>
        </w:rPr>
        <w:t>İ</w:t>
      </w:r>
      <w:r w:rsidR="008E1F91">
        <w:rPr>
          <w:sz w:val="20"/>
          <w:szCs w:val="20"/>
        </w:rPr>
        <w:t>.</w:t>
      </w:r>
      <w:r w:rsidRPr="00BE2D7B">
        <w:rPr>
          <w:sz w:val="20"/>
          <w:szCs w:val="20"/>
        </w:rPr>
        <w:t xml:space="preserve">K’nun 45. Maddesince açık artırma usulü ile </w:t>
      </w:r>
      <w:r w:rsidRPr="00D555CD">
        <w:rPr>
          <w:sz w:val="20"/>
          <w:szCs w:val="20"/>
        </w:rPr>
        <w:t>3</w:t>
      </w:r>
      <w:r w:rsidRPr="00BE2D7B">
        <w:rPr>
          <w:sz w:val="20"/>
          <w:szCs w:val="20"/>
        </w:rPr>
        <w:t xml:space="preserve"> yıllığına kiraya verilecektir.</w:t>
      </w:r>
    </w:p>
    <w:tbl>
      <w:tblPr>
        <w:tblStyle w:val="TabloKlavuzu"/>
        <w:tblW w:w="0" w:type="auto"/>
        <w:tblInd w:w="693" w:type="dxa"/>
        <w:tblLook w:val="04A0" w:firstRow="1" w:lastRow="0" w:firstColumn="1" w:lastColumn="0" w:noHBand="0" w:noVBand="1"/>
      </w:tblPr>
      <w:tblGrid>
        <w:gridCol w:w="704"/>
        <w:gridCol w:w="1134"/>
        <w:gridCol w:w="3598"/>
        <w:gridCol w:w="1647"/>
        <w:gridCol w:w="1276"/>
      </w:tblGrid>
      <w:tr w:rsidR="003A1A3A" w14:paraId="09A947C5" w14:textId="77777777" w:rsidTr="00F53233">
        <w:trPr>
          <w:trHeight w:val="600"/>
        </w:trPr>
        <w:tc>
          <w:tcPr>
            <w:tcW w:w="704" w:type="dxa"/>
          </w:tcPr>
          <w:p w14:paraId="3792789B" w14:textId="77777777" w:rsidR="003A1A3A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29B1D9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134" w:type="dxa"/>
          </w:tcPr>
          <w:p w14:paraId="1F9875A6" w14:textId="77777777" w:rsidR="003A1A3A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E63467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CİNSİ</w:t>
            </w:r>
          </w:p>
        </w:tc>
        <w:tc>
          <w:tcPr>
            <w:tcW w:w="3598" w:type="dxa"/>
          </w:tcPr>
          <w:p w14:paraId="387517C1" w14:textId="77777777" w:rsidR="003A1A3A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1D13C3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ADRESİ</w:t>
            </w:r>
          </w:p>
        </w:tc>
        <w:tc>
          <w:tcPr>
            <w:tcW w:w="1647" w:type="dxa"/>
          </w:tcPr>
          <w:p w14:paraId="198C1914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AYLIK MUHAMMEN</w:t>
            </w:r>
          </w:p>
          <w:p w14:paraId="2EAAC3D9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KİRA BEDELİ</w:t>
            </w:r>
          </w:p>
        </w:tc>
        <w:tc>
          <w:tcPr>
            <w:tcW w:w="1276" w:type="dxa"/>
          </w:tcPr>
          <w:p w14:paraId="68281C6B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GEÇİCİ TEMİNAT</w:t>
            </w:r>
          </w:p>
          <w:p w14:paraId="65D724BD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BEDELİ</w:t>
            </w:r>
          </w:p>
        </w:tc>
      </w:tr>
      <w:tr w:rsidR="008E1F91" w14:paraId="471F23CD" w14:textId="77777777" w:rsidTr="00A03484">
        <w:tc>
          <w:tcPr>
            <w:tcW w:w="704" w:type="dxa"/>
          </w:tcPr>
          <w:p w14:paraId="3E3313A1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884D0C5" w14:textId="6AB5A023" w:rsidR="008E1F91" w:rsidRDefault="00F706DE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 OCAĞI</w:t>
            </w:r>
          </w:p>
        </w:tc>
        <w:tc>
          <w:tcPr>
            <w:tcW w:w="3598" w:type="dxa"/>
            <w:vAlign w:val="bottom"/>
          </w:tcPr>
          <w:p w14:paraId="2A49E1C5" w14:textId="49A85C16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Fabrikalar Mahallesi </w:t>
            </w:r>
            <w:r w:rsidR="00F706DE">
              <w:rPr>
                <w:rFonts w:ascii="Calibri" w:hAnsi="Calibri" w:cs="Calibri"/>
                <w:color w:val="000000"/>
                <w:sz w:val="19"/>
                <w:szCs w:val="19"/>
              </w:rPr>
              <w:t>Toptancı Hal Müdürlüğü İçi</w:t>
            </w:r>
          </w:p>
        </w:tc>
        <w:tc>
          <w:tcPr>
            <w:tcW w:w="1647" w:type="dxa"/>
          </w:tcPr>
          <w:p w14:paraId="6F6711FD" w14:textId="7DEDE0C1" w:rsidR="008E1F91" w:rsidRDefault="00AD6005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2.400</w:t>
            </w:r>
            <w:r w:rsidR="008E1F91" w:rsidRPr="00A574C9">
              <w:rPr>
                <w:sz w:val="19"/>
                <w:szCs w:val="19"/>
              </w:rPr>
              <w:t>,00 TL</w:t>
            </w:r>
          </w:p>
        </w:tc>
        <w:tc>
          <w:tcPr>
            <w:tcW w:w="1276" w:type="dxa"/>
          </w:tcPr>
          <w:p w14:paraId="602A056E" w14:textId="5B84FF4C" w:rsidR="008E1F91" w:rsidRDefault="00AD6005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864</w:t>
            </w:r>
            <w:r w:rsidR="008E1F91" w:rsidRPr="00A574C9">
              <w:rPr>
                <w:sz w:val="19"/>
                <w:szCs w:val="19"/>
              </w:rPr>
              <w:t>,00 TL</w:t>
            </w:r>
          </w:p>
        </w:tc>
      </w:tr>
      <w:tr w:rsidR="00F706DE" w14:paraId="36A75C16" w14:textId="77777777" w:rsidTr="00C10318">
        <w:tc>
          <w:tcPr>
            <w:tcW w:w="704" w:type="dxa"/>
          </w:tcPr>
          <w:p w14:paraId="10AD5D52" w14:textId="77777777" w:rsidR="00F706DE" w:rsidRDefault="00F706DE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5E1D134" w14:textId="07E5FFA0" w:rsidR="00F706DE" w:rsidRDefault="00F706DE" w:rsidP="00F706DE">
            <w:pPr>
              <w:jc w:val="center"/>
              <w:rPr>
                <w:sz w:val="20"/>
                <w:szCs w:val="20"/>
              </w:rPr>
            </w:pPr>
            <w:r w:rsidRPr="009543E4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23239D7F" w14:textId="1531D52A" w:rsidR="00F706DE" w:rsidRDefault="00F706DE" w:rsidP="00F706D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Hüseyin Onbaşı 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Mahallesi 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1/3 Sokak 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No: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13 Millet Bahçesi İçi 2 Nolu Büfe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7" w:type="dxa"/>
          </w:tcPr>
          <w:p w14:paraId="285DD04E" w14:textId="3C9C370E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1</w:t>
            </w:r>
            <w:r w:rsidR="00291B63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.</w:t>
            </w:r>
            <w:r w:rsidR="00291B63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00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  <w:tc>
          <w:tcPr>
            <w:tcW w:w="1276" w:type="dxa"/>
          </w:tcPr>
          <w:p w14:paraId="3232200F" w14:textId="5CF045F7" w:rsidR="00F706DE" w:rsidRPr="00A574C9" w:rsidRDefault="00AD6005" w:rsidP="00F706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  <w:r w:rsidR="00291B63">
              <w:rPr>
                <w:sz w:val="19"/>
                <w:szCs w:val="19"/>
              </w:rPr>
              <w:t>48</w:t>
            </w:r>
            <w:r>
              <w:rPr>
                <w:sz w:val="19"/>
                <w:szCs w:val="19"/>
              </w:rPr>
              <w:t>0</w:t>
            </w:r>
            <w:r w:rsidR="00F706DE" w:rsidRPr="00A574C9">
              <w:rPr>
                <w:sz w:val="19"/>
                <w:szCs w:val="19"/>
              </w:rPr>
              <w:t>,00 TL</w:t>
            </w:r>
          </w:p>
          <w:p w14:paraId="320CF889" w14:textId="3AB5EEB7" w:rsidR="00F706DE" w:rsidRDefault="00F706DE" w:rsidP="00F706DE">
            <w:pPr>
              <w:jc w:val="center"/>
              <w:rPr>
                <w:sz w:val="20"/>
                <w:szCs w:val="20"/>
              </w:rPr>
            </w:pPr>
          </w:p>
        </w:tc>
      </w:tr>
      <w:tr w:rsidR="00F706DE" w14:paraId="01A5BF69" w14:textId="77777777" w:rsidTr="00C10318">
        <w:tc>
          <w:tcPr>
            <w:tcW w:w="704" w:type="dxa"/>
          </w:tcPr>
          <w:p w14:paraId="4D849A4C" w14:textId="77777777" w:rsidR="00F706DE" w:rsidRDefault="00F706DE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203B6F" w14:textId="2A000100" w:rsidR="00F706DE" w:rsidRDefault="00F706DE" w:rsidP="00F706DE">
            <w:pPr>
              <w:jc w:val="center"/>
              <w:rPr>
                <w:sz w:val="20"/>
                <w:szCs w:val="20"/>
              </w:rPr>
            </w:pPr>
            <w:r w:rsidRPr="009543E4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36950BC2" w14:textId="724D5A5A" w:rsidR="00F706DE" w:rsidRDefault="00F706DE" w:rsidP="00F706D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Fabrikalar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Mahallesi 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Bosna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Caddesi No: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7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/A</w:t>
            </w:r>
          </w:p>
        </w:tc>
        <w:tc>
          <w:tcPr>
            <w:tcW w:w="1647" w:type="dxa"/>
          </w:tcPr>
          <w:p w14:paraId="0EF0E3D3" w14:textId="05FF9BF6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14.300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  <w:tc>
          <w:tcPr>
            <w:tcW w:w="1276" w:type="dxa"/>
          </w:tcPr>
          <w:p w14:paraId="4A60E108" w14:textId="7FD28CD4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5.148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</w:tr>
      <w:tr w:rsidR="00F706DE" w14:paraId="2C96459C" w14:textId="77777777" w:rsidTr="00C10318">
        <w:tc>
          <w:tcPr>
            <w:tcW w:w="704" w:type="dxa"/>
          </w:tcPr>
          <w:p w14:paraId="4EACC7E8" w14:textId="77777777" w:rsidR="00F706DE" w:rsidRDefault="00F706DE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57DE1ED" w14:textId="0D958CC5" w:rsidR="00F706DE" w:rsidRDefault="00F706DE" w:rsidP="00F706DE">
            <w:pPr>
              <w:jc w:val="center"/>
              <w:rPr>
                <w:sz w:val="20"/>
                <w:szCs w:val="20"/>
              </w:rPr>
            </w:pPr>
            <w:r w:rsidRPr="009543E4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595133D0" w14:textId="53960E33" w:rsidR="00F706DE" w:rsidRDefault="00F706DE" w:rsidP="00F706DE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Kaletepe Mahallesi 10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6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9 Sokak No: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7/C</w:t>
            </w:r>
          </w:p>
        </w:tc>
        <w:tc>
          <w:tcPr>
            <w:tcW w:w="1647" w:type="dxa"/>
          </w:tcPr>
          <w:p w14:paraId="1B3D8FED" w14:textId="2CC76738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7.300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  <w:tc>
          <w:tcPr>
            <w:tcW w:w="1276" w:type="dxa"/>
          </w:tcPr>
          <w:p w14:paraId="23C73703" w14:textId="69E2ADC2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2.628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</w:tr>
      <w:tr w:rsidR="00F706DE" w14:paraId="401429C6" w14:textId="77777777" w:rsidTr="00A03484">
        <w:tc>
          <w:tcPr>
            <w:tcW w:w="704" w:type="dxa"/>
          </w:tcPr>
          <w:p w14:paraId="1BF92B25" w14:textId="77777777" w:rsidR="00F706DE" w:rsidRDefault="00F706DE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0F8EA21" w14:textId="0916EDE4" w:rsidR="00F706DE" w:rsidRDefault="00F706DE" w:rsidP="00F706DE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283ADCF7" w14:textId="126C3C72" w:rsidR="00F706DE" w:rsidRDefault="00F706DE" w:rsidP="00F706D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Osmangazi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Mahallesi 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Doğu Bulvarı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No: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92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/A</w:t>
            </w:r>
          </w:p>
        </w:tc>
        <w:tc>
          <w:tcPr>
            <w:tcW w:w="1647" w:type="dxa"/>
          </w:tcPr>
          <w:p w14:paraId="753BB590" w14:textId="509F49D2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8.400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  <w:tc>
          <w:tcPr>
            <w:tcW w:w="1276" w:type="dxa"/>
          </w:tcPr>
          <w:p w14:paraId="0EB13A3F" w14:textId="2B005B4B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3.024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</w:tr>
      <w:tr w:rsidR="00F706DE" w14:paraId="6EAACD87" w14:textId="77777777" w:rsidTr="00A03484">
        <w:tc>
          <w:tcPr>
            <w:tcW w:w="704" w:type="dxa"/>
          </w:tcPr>
          <w:p w14:paraId="6093752F" w14:textId="77777777" w:rsidR="00F706DE" w:rsidRDefault="00F706DE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4036744" w14:textId="7840ED7C" w:rsidR="00F706DE" w:rsidRDefault="00F706DE" w:rsidP="00F706DE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619D515A" w14:textId="7AC5DCD1" w:rsidR="00F706DE" w:rsidRDefault="00F706DE" w:rsidP="00F706DE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Kaletepe Mahallesi 10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63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Sokak No: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23</w:t>
            </w: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/A</w:t>
            </w:r>
          </w:p>
        </w:tc>
        <w:tc>
          <w:tcPr>
            <w:tcW w:w="1647" w:type="dxa"/>
          </w:tcPr>
          <w:p w14:paraId="6B46C5A1" w14:textId="0520E3EF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4.900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  <w:tc>
          <w:tcPr>
            <w:tcW w:w="1276" w:type="dxa"/>
          </w:tcPr>
          <w:p w14:paraId="1518ACD3" w14:textId="6F1E3EEE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1.764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</w:tr>
      <w:tr w:rsidR="00F706DE" w14:paraId="59BCA6F8" w14:textId="77777777" w:rsidTr="00A03484">
        <w:tc>
          <w:tcPr>
            <w:tcW w:w="704" w:type="dxa"/>
          </w:tcPr>
          <w:p w14:paraId="299B9AB2" w14:textId="77777777" w:rsidR="00F706DE" w:rsidRDefault="00F706DE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18A72CF" w14:textId="468F5AC5" w:rsidR="00F706DE" w:rsidRDefault="00F706DE" w:rsidP="00F706DE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4763485D" w14:textId="6559EA18" w:rsidR="00F706DE" w:rsidRDefault="00F706DE" w:rsidP="00F7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Sanayi Mahallesi Fatih Caddesi No:1/A</w:t>
            </w:r>
          </w:p>
        </w:tc>
        <w:tc>
          <w:tcPr>
            <w:tcW w:w="1647" w:type="dxa"/>
          </w:tcPr>
          <w:p w14:paraId="46DBF778" w14:textId="22B7CA52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14.000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  <w:tc>
          <w:tcPr>
            <w:tcW w:w="1276" w:type="dxa"/>
          </w:tcPr>
          <w:p w14:paraId="7FB18EB5" w14:textId="187E79DC" w:rsidR="00F706DE" w:rsidRDefault="00AD6005" w:rsidP="00F706DE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5.040</w:t>
            </w:r>
            <w:r w:rsidR="00F706DE" w:rsidRPr="00A574C9">
              <w:rPr>
                <w:sz w:val="19"/>
                <w:szCs w:val="19"/>
              </w:rPr>
              <w:t>,00 TL</w:t>
            </w:r>
          </w:p>
        </w:tc>
      </w:tr>
    </w:tbl>
    <w:p w14:paraId="127F5F91" w14:textId="557B5BA0" w:rsidR="00DD5B96" w:rsidRDefault="009A7124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2-İhale </w:t>
      </w:r>
      <w:r w:rsidR="00291B63">
        <w:rPr>
          <w:sz w:val="20"/>
          <w:szCs w:val="20"/>
        </w:rPr>
        <w:t>2</w:t>
      </w:r>
      <w:r w:rsidR="00E8168F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="00E8168F">
        <w:rPr>
          <w:sz w:val="20"/>
          <w:szCs w:val="20"/>
        </w:rPr>
        <w:t>0</w:t>
      </w:r>
      <w:r w:rsidR="00291B63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E8168F">
        <w:rPr>
          <w:sz w:val="20"/>
          <w:szCs w:val="20"/>
        </w:rPr>
        <w:t>6</w:t>
      </w:r>
      <w:r>
        <w:rPr>
          <w:sz w:val="20"/>
          <w:szCs w:val="20"/>
        </w:rPr>
        <w:t xml:space="preserve"> Çarşamba günü saat 10.30’da başlayıp</w:t>
      </w:r>
      <w:r w:rsidR="00DD5B96">
        <w:rPr>
          <w:sz w:val="20"/>
          <w:szCs w:val="20"/>
        </w:rPr>
        <w:t xml:space="preserve"> 10’ar dakika ara ile Belediyemiz Hizmet Binası </w:t>
      </w:r>
      <w:r w:rsidR="00E33741">
        <w:rPr>
          <w:sz w:val="20"/>
          <w:szCs w:val="20"/>
        </w:rPr>
        <w:t>1</w:t>
      </w:r>
      <w:r w:rsidR="00DD5B96">
        <w:rPr>
          <w:sz w:val="20"/>
          <w:szCs w:val="20"/>
        </w:rPr>
        <w:t>. Kat Encümen odasında yapılacaktır.</w:t>
      </w:r>
    </w:p>
    <w:p w14:paraId="0521299E" w14:textId="17EC4644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3-İhale ile ilgili Şartname Belediyemiz Emlak ve İstimlak Müdürlüğünden 500,00 ₺ karşılığında temin edilecektir.</w:t>
      </w:r>
    </w:p>
    <w:p w14:paraId="4B2857FA" w14:textId="558B0212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4-İhalede azami fiyat artırımı 100,00 ₺ olarak belirlenmiştir.</w:t>
      </w:r>
    </w:p>
    <w:p w14:paraId="061F54D0" w14:textId="49AD3B26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5-İhaleye katılacakların evrakları </w:t>
      </w:r>
      <w:r w:rsidR="00291B63">
        <w:rPr>
          <w:sz w:val="20"/>
          <w:szCs w:val="20"/>
        </w:rPr>
        <w:t>1</w:t>
      </w:r>
      <w:r w:rsidR="008F666B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="00E8168F">
        <w:rPr>
          <w:sz w:val="20"/>
          <w:szCs w:val="20"/>
        </w:rPr>
        <w:t>0</w:t>
      </w:r>
      <w:r w:rsidR="00291B63">
        <w:rPr>
          <w:sz w:val="20"/>
          <w:szCs w:val="20"/>
        </w:rPr>
        <w:t>5</w:t>
      </w:r>
      <w:r>
        <w:rPr>
          <w:sz w:val="20"/>
          <w:szCs w:val="20"/>
        </w:rPr>
        <w:t>.20</w:t>
      </w:r>
      <w:r w:rsidR="00E8168F">
        <w:rPr>
          <w:sz w:val="20"/>
          <w:szCs w:val="20"/>
        </w:rPr>
        <w:t>26</w:t>
      </w:r>
      <w:r>
        <w:rPr>
          <w:sz w:val="20"/>
          <w:szCs w:val="20"/>
        </w:rPr>
        <w:t xml:space="preserve"> tarihinden itibaren teslim alınacaktır</w:t>
      </w:r>
      <w:r w:rsidR="00291B63">
        <w:rPr>
          <w:sz w:val="20"/>
          <w:szCs w:val="20"/>
        </w:rPr>
        <w:t>. 19.05.2026 tarihi resmi tatil olduğundan dolayı</w:t>
      </w:r>
      <w:r>
        <w:rPr>
          <w:sz w:val="20"/>
          <w:szCs w:val="20"/>
        </w:rPr>
        <w:t xml:space="preserve"> </w:t>
      </w:r>
      <w:r w:rsidR="00291B63">
        <w:rPr>
          <w:sz w:val="20"/>
          <w:szCs w:val="20"/>
        </w:rPr>
        <w:t>k</w:t>
      </w:r>
      <w:r>
        <w:rPr>
          <w:sz w:val="20"/>
          <w:szCs w:val="20"/>
        </w:rPr>
        <w:t>atılımcıları</w:t>
      </w:r>
      <w:r w:rsidR="00291B63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291B63">
        <w:rPr>
          <w:sz w:val="20"/>
          <w:szCs w:val="20"/>
        </w:rPr>
        <w:t>18.05.2026 tarihi</w:t>
      </w:r>
      <w:r w:rsidR="00E135BE">
        <w:rPr>
          <w:sz w:val="20"/>
          <w:szCs w:val="20"/>
        </w:rPr>
        <w:t>ne kadar</w:t>
      </w:r>
      <w:r>
        <w:rPr>
          <w:sz w:val="20"/>
          <w:szCs w:val="20"/>
        </w:rPr>
        <w:t xml:space="preserve"> saat 15.</w:t>
      </w:r>
      <w:r w:rsidR="00D555CD">
        <w:rPr>
          <w:sz w:val="20"/>
          <w:szCs w:val="20"/>
        </w:rPr>
        <w:t>0</w:t>
      </w:r>
      <w:r>
        <w:rPr>
          <w:sz w:val="20"/>
          <w:szCs w:val="20"/>
        </w:rPr>
        <w:t xml:space="preserve">0’a kadar ihaleye katılım şartlarını taşıyan belgelerini teslim etmeleri gerekmektedir. Geçici teminatların yatırıldığı dekontların saatleri kontrol edilmekte olup saat 15.00’dan sonra yatan teminatlar geçerli sayılmayacaktır. </w:t>
      </w:r>
    </w:p>
    <w:p w14:paraId="1A136E28" w14:textId="72E090FD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6-İhaleye katılacak gerçek veya tüzel kişilerden istenilecek belgeler:</w:t>
      </w:r>
    </w:p>
    <w:p w14:paraId="764F4EE7" w14:textId="48A7EE91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a) Nüfus cüzdanı fotokopisini ibraz etmesi</w:t>
      </w:r>
    </w:p>
    <w:p w14:paraId="5F0004D2" w14:textId="6D781AEC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b) Geçici Teminat Makbuzunu ibraz etmesi</w:t>
      </w:r>
    </w:p>
    <w:p w14:paraId="678700DF" w14:textId="33ADBF4E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c) İkametgah kaydını ibraz etmesi</w:t>
      </w:r>
    </w:p>
    <w:p w14:paraId="7CE8723E" w14:textId="2B90D8A5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d) Katılımcı adına vekaleten ihaleye katılıyor ise katılımcı adına teklif vermeye, ihaleye katılmaya yetkili olduğuna dair noterden vekaletnameyi ibraz etmesi</w:t>
      </w:r>
    </w:p>
    <w:p w14:paraId="439DAE85" w14:textId="5192AFF8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e) Şirket adına katılan şirket müdürünün</w:t>
      </w:r>
      <w:r w:rsidR="00C72D23">
        <w:rPr>
          <w:sz w:val="20"/>
          <w:szCs w:val="20"/>
        </w:rPr>
        <w:t xml:space="preserve"> imza sirküsü veya şirket müdürü adına ihaleye katılan katılımcı ihaleye katılmaya ve teklif vermeye yetkili olduğuna dair yetki belgesi</w:t>
      </w:r>
    </w:p>
    <w:p w14:paraId="51E13859" w14:textId="7BE4E7DD" w:rsidR="00C72D23" w:rsidRDefault="00C72D23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f) Katılımcılar ihaleye gireceği taşınmaza ait geçici teminat tutarını Kırıkkale Halk Bankası Şubesine Kırıkkale Belediyesi (TR 82 0001 2009 6740 0007 0000 19) Hesabına yatırması ve 2 adet dekont getirmesi gerekmektedir.</w:t>
      </w:r>
    </w:p>
    <w:p w14:paraId="26CC334F" w14:textId="77777777" w:rsidR="00DD5B96" w:rsidRPr="00DD5B96" w:rsidRDefault="00DD5B96" w:rsidP="00DD5B96">
      <w:pPr>
        <w:spacing w:after="0"/>
        <w:rPr>
          <w:sz w:val="20"/>
          <w:szCs w:val="20"/>
        </w:rPr>
      </w:pPr>
    </w:p>
    <w:sectPr w:rsidR="00DD5B96" w:rsidRPr="00DD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849"/>
    <w:multiLevelType w:val="hybridMultilevel"/>
    <w:tmpl w:val="390A9180"/>
    <w:lvl w:ilvl="0" w:tplc="2B9C730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017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6"/>
    <w:rsid w:val="00041E39"/>
    <w:rsid w:val="00075FE5"/>
    <w:rsid w:val="00112064"/>
    <w:rsid w:val="001710BC"/>
    <w:rsid w:val="001E3273"/>
    <w:rsid w:val="0022299A"/>
    <w:rsid w:val="00291B63"/>
    <w:rsid w:val="002C3950"/>
    <w:rsid w:val="002E26DF"/>
    <w:rsid w:val="003A1A3A"/>
    <w:rsid w:val="0049672F"/>
    <w:rsid w:val="004C162D"/>
    <w:rsid w:val="00534557"/>
    <w:rsid w:val="00583446"/>
    <w:rsid w:val="0059432A"/>
    <w:rsid w:val="005A10C2"/>
    <w:rsid w:val="006174B3"/>
    <w:rsid w:val="00622C67"/>
    <w:rsid w:val="0065740B"/>
    <w:rsid w:val="00785FCE"/>
    <w:rsid w:val="007F0D72"/>
    <w:rsid w:val="00846FB9"/>
    <w:rsid w:val="00863AE2"/>
    <w:rsid w:val="008E1F91"/>
    <w:rsid w:val="008F666B"/>
    <w:rsid w:val="00927C95"/>
    <w:rsid w:val="00995E61"/>
    <w:rsid w:val="009A7124"/>
    <w:rsid w:val="009D3A9F"/>
    <w:rsid w:val="009F532C"/>
    <w:rsid w:val="00AC1B39"/>
    <w:rsid w:val="00AC7D4E"/>
    <w:rsid w:val="00AD6005"/>
    <w:rsid w:val="00B240AC"/>
    <w:rsid w:val="00B24ABE"/>
    <w:rsid w:val="00BE2D7B"/>
    <w:rsid w:val="00C64468"/>
    <w:rsid w:val="00C72D23"/>
    <w:rsid w:val="00C9585A"/>
    <w:rsid w:val="00CA3771"/>
    <w:rsid w:val="00CC24B7"/>
    <w:rsid w:val="00CD00F8"/>
    <w:rsid w:val="00D52972"/>
    <w:rsid w:val="00D555CD"/>
    <w:rsid w:val="00D753AA"/>
    <w:rsid w:val="00DB36F0"/>
    <w:rsid w:val="00DD5B96"/>
    <w:rsid w:val="00E135BE"/>
    <w:rsid w:val="00E33741"/>
    <w:rsid w:val="00E503A8"/>
    <w:rsid w:val="00E55857"/>
    <w:rsid w:val="00E73920"/>
    <w:rsid w:val="00E8168F"/>
    <w:rsid w:val="00EA5ED2"/>
    <w:rsid w:val="00F10CC3"/>
    <w:rsid w:val="00F220A4"/>
    <w:rsid w:val="00F706DE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E042"/>
  <w15:chartTrackingRefBased/>
  <w15:docId w15:val="{314BB583-321B-4C72-B8E6-0A2C68C3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3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3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3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34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34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34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34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34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34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34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34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34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34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344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Baloglu</dc:creator>
  <cp:keywords/>
  <dc:description/>
  <cp:lastModifiedBy>Huseyin Baloglu</cp:lastModifiedBy>
  <cp:revision>30</cp:revision>
  <cp:lastPrinted>2025-08-12T07:02:00Z</cp:lastPrinted>
  <dcterms:created xsi:type="dcterms:W3CDTF">2025-08-12T05:44:00Z</dcterms:created>
  <dcterms:modified xsi:type="dcterms:W3CDTF">2026-04-30T07:44:00Z</dcterms:modified>
</cp:coreProperties>
</file>